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33777A2D" w:rsidR="00F64FFA" w:rsidRDefault="00FF1EE7">
      <w:pPr>
        <w:rPr>
          <w:vertAlign w:val="superscript"/>
        </w:rPr>
      </w:pPr>
      <w:r>
        <w:rPr>
          <w:noProof/>
        </w:rPr>
        <mc:AlternateContent>
          <mc:Choice Requires="wps">
            <w:drawing>
              <wp:anchor distT="0" distB="0" distL="0" distR="0" simplePos="0" relativeHeight="251657728" behindDoc="1" locked="0" layoutInCell="1" allowOverlap="1" wp14:anchorId="3A4063EC" wp14:editId="029F471B">
                <wp:simplePos x="0" y="0"/>
                <wp:positionH relativeFrom="margin">
                  <wp:posOffset>-63500</wp:posOffset>
                </wp:positionH>
                <wp:positionV relativeFrom="paragraph">
                  <wp:posOffset>42545</wp:posOffset>
                </wp:positionV>
                <wp:extent cx="5819775" cy="601980"/>
                <wp:effectExtent l="0" t="0" r="9525" b="762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9775"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margin-left:-5pt;margin-top:3.35pt;width:458.25pt;height:47.4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tc>
          <w:tcPr>
            <w:tcW w:w="3936" w:type="dxa"/>
            <w:shd w:val="clear" w:color="auto" w:fill="auto"/>
          </w:tcPr>
          <w:p w14:paraId="0E790796" w14:textId="77777777" w:rsidR="00F64FFA" w:rsidRDefault="0038696F">
            <w:pPr>
              <w:pStyle w:val="NoSpacing"/>
              <w:rPr>
                <w:b/>
              </w:rPr>
            </w:pPr>
            <w:r>
              <w:rPr>
                <w:b/>
              </w:rPr>
              <w:t>Date</w:t>
            </w:r>
          </w:p>
        </w:tc>
        <w:tc>
          <w:tcPr>
            <w:tcW w:w="5243" w:type="dxa"/>
            <w:shd w:val="clear" w:color="auto" w:fill="auto"/>
          </w:tcPr>
          <w:p w14:paraId="5424D01F" w14:textId="3DA99F46" w:rsidR="00F64FFA" w:rsidRDefault="004A1805">
            <w:pPr>
              <w:pStyle w:val="NoSpacing"/>
            </w:pPr>
            <w:r>
              <w:t>4 June</w:t>
            </w:r>
            <w:r w:rsidR="0035692A">
              <w:t xml:space="preserve"> 2020</w:t>
            </w:r>
          </w:p>
        </w:tc>
      </w:tr>
      <w:tr w:rsidR="00F64FFA" w14:paraId="73DF0E42" w14:textId="77777777">
        <w:tc>
          <w:tcPr>
            <w:tcW w:w="3936" w:type="dxa"/>
            <w:shd w:val="clear" w:color="auto" w:fill="auto"/>
          </w:tcPr>
          <w:p w14:paraId="773EAFCE" w14:textId="77777777" w:rsidR="00F64FFA" w:rsidRDefault="0038696F">
            <w:pPr>
              <w:pStyle w:val="NoSpacing"/>
              <w:rPr>
                <w:b/>
              </w:rPr>
            </w:pPr>
            <w:r>
              <w:rPr>
                <w:b/>
              </w:rPr>
              <w:t>Issue Resolution Proposal</w:t>
            </w:r>
          </w:p>
        </w:tc>
        <w:tc>
          <w:tcPr>
            <w:tcW w:w="5243" w:type="dxa"/>
            <w:shd w:val="clear" w:color="auto" w:fill="auto"/>
          </w:tcPr>
          <w:p w14:paraId="3AEB6719" w14:textId="00EF0565" w:rsidR="00F64FFA" w:rsidRDefault="0038696F">
            <w:pPr>
              <w:pStyle w:val="NoSpacing"/>
            </w:pPr>
            <w:r>
              <w:t>IRP</w:t>
            </w:r>
            <w:r w:rsidR="0035692A">
              <w:t>625</w:t>
            </w:r>
          </w:p>
        </w:tc>
      </w:tr>
      <w:tr w:rsidR="00F64FFA" w14:paraId="673FEB30" w14:textId="77777777">
        <w:tc>
          <w:tcPr>
            <w:tcW w:w="3936" w:type="dxa"/>
            <w:shd w:val="clear" w:color="auto" w:fill="auto"/>
          </w:tcPr>
          <w:p w14:paraId="4F32F48F" w14:textId="77777777" w:rsidR="00F64FFA" w:rsidRDefault="0038696F">
            <w:pPr>
              <w:pStyle w:val="NoSpacing"/>
              <w:rPr>
                <w:b/>
              </w:rPr>
            </w:pPr>
            <w:r>
              <w:rPr>
                <w:b/>
              </w:rPr>
              <w:t>Issues Log ID</w:t>
            </w:r>
          </w:p>
        </w:tc>
        <w:tc>
          <w:tcPr>
            <w:tcW w:w="5243" w:type="dxa"/>
            <w:shd w:val="clear" w:color="auto" w:fill="auto"/>
          </w:tcPr>
          <w:p w14:paraId="70DCF214" w14:textId="1AB352BA" w:rsidR="00F64FFA" w:rsidRDefault="0038696F">
            <w:pPr>
              <w:pStyle w:val="NoSpacing"/>
            </w:pPr>
            <w:r>
              <w:t>TS1</w:t>
            </w:r>
            <w:r w:rsidR="00FA69BB">
              <w:t>140</w:t>
            </w:r>
          </w:p>
        </w:tc>
      </w:tr>
      <w:tr w:rsidR="00F64FFA" w14:paraId="7F229363" w14:textId="77777777">
        <w:tc>
          <w:tcPr>
            <w:tcW w:w="3936" w:type="dxa"/>
            <w:shd w:val="clear" w:color="auto" w:fill="auto"/>
          </w:tcPr>
          <w:p w14:paraId="1A2E8F72" w14:textId="77777777" w:rsidR="00F64FFA" w:rsidRDefault="0038696F">
            <w:pPr>
              <w:pStyle w:val="NoSpacing"/>
              <w:rPr>
                <w:b/>
              </w:rPr>
            </w:pPr>
            <w:r>
              <w:rPr>
                <w:b/>
              </w:rPr>
              <w:t>Issue Title</w:t>
            </w:r>
          </w:p>
        </w:tc>
        <w:tc>
          <w:tcPr>
            <w:tcW w:w="5243" w:type="dxa"/>
            <w:shd w:val="clear" w:color="auto" w:fill="auto"/>
          </w:tcPr>
          <w:p w14:paraId="0741B753" w14:textId="0DB6D214" w:rsidR="00F64FFA" w:rsidRDefault="00FA69BB">
            <w:pPr>
              <w:pStyle w:val="NoSpacing"/>
            </w:pPr>
            <w:r w:rsidRPr="00FA69BB">
              <w:t>GBCS Publish Top Up Log Command</w:t>
            </w:r>
          </w:p>
        </w:tc>
      </w:tr>
      <w:tr w:rsidR="00F64FFA" w14:paraId="39C41E68" w14:textId="77777777">
        <w:tc>
          <w:tcPr>
            <w:tcW w:w="3936" w:type="dxa"/>
            <w:shd w:val="clear" w:color="auto" w:fill="auto"/>
          </w:tcPr>
          <w:p w14:paraId="6C7D2B8E" w14:textId="77777777" w:rsidR="00F64FFA" w:rsidRDefault="0038696F">
            <w:pPr>
              <w:pStyle w:val="NoSpacing"/>
              <w:rPr>
                <w:b/>
              </w:rPr>
            </w:pPr>
            <w:r>
              <w:rPr>
                <w:b/>
              </w:rPr>
              <w:t>Source</w:t>
            </w:r>
          </w:p>
        </w:tc>
        <w:tc>
          <w:tcPr>
            <w:tcW w:w="5243" w:type="dxa"/>
            <w:shd w:val="clear" w:color="auto" w:fill="auto"/>
          </w:tcPr>
          <w:p w14:paraId="18FCEAB0" w14:textId="4C9FE8E9" w:rsidR="00F64FFA" w:rsidRDefault="00FA69BB">
            <w:pPr>
              <w:pStyle w:val="NoSpacing"/>
            </w:pPr>
            <w:r>
              <w:t>Secure Meters</w:t>
            </w:r>
          </w:p>
        </w:tc>
      </w:tr>
      <w:tr w:rsidR="00F64FFA" w14:paraId="51E00F00" w14:textId="77777777">
        <w:tc>
          <w:tcPr>
            <w:tcW w:w="3936" w:type="dxa"/>
            <w:shd w:val="clear" w:color="auto" w:fill="auto"/>
          </w:tcPr>
          <w:p w14:paraId="33CF45A9" w14:textId="77777777" w:rsidR="00F64FFA" w:rsidRDefault="0038696F">
            <w:pPr>
              <w:pStyle w:val="NoSpacing"/>
              <w:rPr>
                <w:b/>
              </w:rPr>
            </w:pPr>
            <w:r>
              <w:rPr>
                <w:b/>
              </w:rPr>
              <w:t>Date Raised</w:t>
            </w:r>
          </w:p>
        </w:tc>
        <w:tc>
          <w:tcPr>
            <w:tcW w:w="5243" w:type="dxa"/>
            <w:shd w:val="clear" w:color="auto" w:fill="auto"/>
          </w:tcPr>
          <w:p w14:paraId="31B041FB" w14:textId="79675B61" w:rsidR="00F64FFA" w:rsidRDefault="00FA69BB">
            <w:pPr>
              <w:pStyle w:val="NoSpacing"/>
            </w:pPr>
            <w:r>
              <w:t>27/05</w:t>
            </w:r>
            <w:r w:rsidR="0038696F">
              <w:t>/2019</w:t>
            </w:r>
          </w:p>
        </w:tc>
      </w:tr>
      <w:tr w:rsidR="00F64FFA" w14:paraId="6B2B5221" w14:textId="77777777">
        <w:trPr>
          <w:trHeight w:val="359"/>
        </w:trPr>
        <w:tc>
          <w:tcPr>
            <w:tcW w:w="3936" w:type="dxa"/>
            <w:shd w:val="clear" w:color="auto" w:fill="auto"/>
          </w:tcPr>
          <w:p w14:paraId="1BAC6485" w14:textId="77777777" w:rsidR="00F64FFA" w:rsidRDefault="0038696F">
            <w:pPr>
              <w:pStyle w:val="NoSpacing"/>
              <w:rPr>
                <w:b/>
              </w:rPr>
            </w:pPr>
            <w:r>
              <w:rPr>
                <w:b/>
              </w:rPr>
              <w:t>Status</w:t>
            </w:r>
          </w:p>
        </w:tc>
        <w:tc>
          <w:tcPr>
            <w:tcW w:w="5243" w:type="dxa"/>
            <w:shd w:val="clear" w:color="auto" w:fill="auto"/>
          </w:tcPr>
          <w:p w14:paraId="3F98FCE9" w14:textId="71B7E77F" w:rsidR="00F64FFA" w:rsidRDefault="0035692A">
            <w:pPr>
              <w:pStyle w:val="NoSpacing"/>
            </w:pPr>
            <w:r>
              <w:t>Draft v0_1</w:t>
            </w:r>
          </w:p>
        </w:tc>
      </w:tr>
      <w:tr w:rsidR="00F64FFA" w14:paraId="33A9928F" w14:textId="77777777">
        <w:tc>
          <w:tcPr>
            <w:tcW w:w="3936" w:type="dxa"/>
            <w:shd w:val="clear" w:color="auto" w:fill="auto"/>
          </w:tcPr>
          <w:p w14:paraId="77FAB3DF" w14:textId="77777777" w:rsidR="00F64FFA" w:rsidRDefault="0038696F">
            <w:pPr>
              <w:pStyle w:val="NoSpacing"/>
              <w:rPr>
                <w:i/>
                <w:sz w:val="16"/>
                <w:szCs w:val="16"/>
              </w:rPr>
            </w:pPr>
            <w:r>
              <w:rPr>
                <w:b/>
              </w:rPr>
              <w:t>Documentation Reference</w:t>
            </w:r>
          </w:p>
        </w:tc>
        <w:tc>
          <w:tcPr>
            <w:tcW w:w="5243" w:type="dxa"/>
            <w:shd w:val="clear" w:color="auto" w:fill="auto"/>
          </w:tcPr>
          <w:p w14:paraId="67D363D3" w14:textId="77777777" w:rsidR="00F64FFA" w:rsidRDefault="0038696F">
            <w:pPr>
              <w:pStyle w:val="NoSpacing"/>
            </w:pPr>
            <w:r>
              <w:t>GBCS v3.2</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7429E4CC" w14:textId="4DFFD27F" w:rsidR="00FA69BB" w:rsidRDefault="00FA69BB" w:rsidP="00FA69BB">
      <w:pPr>
        <w:rPr>
          <w:rFonts w:asciiTheme="minorHAnsi" w:hAnsiTheme="minorHAnsi"/>
        </w:rPr>
      </w:pPr>
      <w:r>
        <w:t xml:space="preserve">We have come across an issue in GBCS which requires the GSME to push the latest five prepayment top-ups which does not makes sense.  On completion of processing a UTRN, the GSME will push the details.  The GPF can make use of the Get Top Up Log if any are missed.   Pushing 5 each time appears to be a duplication and as such a waste of bandwidth and device processing time (both on GSME and </w:t>
      </w:r>
      <w:r w:rsidR="00901A92">
        <w:t>G</w:t>
      </w:r>
      <w:r>
        <w:t>PF). Additionally, ZSE1.4 only allows the last to be sent.</w:t>
      </w:r>
    </w:p>
    <w:p w14:paraId="063B5921" w14:textId="77777777" w:rsidR="00FA69BB" w:rsidRDefault="00FA69BB" w:rsidP="00FA69BB">
      <w:r>
        <w:t xml:space="preserve"> Please see below extracts from GBCS v3.1 and ZSE1.4 </w:t>
      </w:r>
    </w:p>
    <w:p w14:paraId="2DD6F392" w14:textId="24A6C371" w:rsidR="00FA69BB" w:rsidRDefault="00FA69BB" w:rsidP="00FA69BB">
      <w:r>
        <w:t> </w:t>
      </w:r>
      <w:r>
        <w:rPr>
          <w:noProof/>
        </w:rPr>
        <w:drawing>
          <wp:inline distT="0" distB="0" distL="0" distR="0" wp14:anchorId="2C4C7052" wp14:editId="33E99FDD">
            <wp:extent cx="5729605" cy="1476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29605" cy="1476375"/>
                    </a:xfrm>
                    <a:prstGeom prst="rect">
                      <a:avLst/>
                    </a:prstGeom>
                    <a:noFill/>
                    <a:ln>
                      <a:noFill/>
                    </a:ln>
                  </pic:spPr>
                </pic:pic>
              </a:graphicData>
            </a:graphic>
          </wp:inline>
        </w:drawing>
      </w:r>
    </w:p>
    <w:p w14:paraId="2A4B04CD" w14:textId="77777777" w:rsidR="00FA69BB" w:rsidRDefault="00FA69BB" w:rsidP="00FA69BB">
      <w:r>
        <w:t> </w:t>
      </w:r>
    </w:p>
    <w:p w14:paraId="1B04015E" w14:textId="6D2CCD0B" w:rsidR="00FA69BB" w:rsidRDefault="00FA69BB" w:rsidP="00FA69BB">
      <w:pPr>
        <w:rPr>
          <w:rFonts w:cs="Arial"/>
          <w:b/>
          <w:sz w:val="24"/>
          <w:szCs w:val="24"/>
          <w:u w:val="single"/>
          <w:lang w:val="en-US"/>
        </w:rPr>
      </w:pPr>
      <w:r>
        <w:rPr>
          <w:noProof/>
        </w:rPr>
        <w:drawing>
          <wp:inline distT="0" distB="0" distL="0" distR="0" wp14:anchorId="0B7DCCE3" wp14:editId="608F1BDD">
            <wp:extent cx="5729605" cy="127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29605" cy="1271905"/>
                    </a:xfrm>
                    <a:prstGeom prst="rect">
                      <a:avLst/>
                    </a:prstGeom>
                    <a:noFill/>
                    <a:ln>
                      <a:noFill/>
                    </a:ln>
                  </pic:spPr>
                </pic:pic>
              </a:graphicData>
            </a:graphic>
          </wp:inline>
        </w:drawing>
      </w:r>
    </w:p>
    <w:p w14:paraId="704E4C0C" w14:textId="77777777" w:rsidR="00F64FFA" w:rsidRDefault="00F64FFA">
      <w:pPr>
        <w:rPr>
          <w:b/>
          <w:sz w:val="24"/>
          <w:szCs w:val="24"/>
        </w:rPr>
      </w:pPr>
    </w:p>
    <w:p w14:paraId="66A71F92" w14:textId="77777777" w:rsidR="00EB37D0" w:rsidRDefault="00EB37D0">
      <w:pPr>
        <w:rPr>
          <w:b/>
          <w:sz w:val="24"/>
          <w:szCs w:val="24"/>
        </w:rPr>
      </w:pPr>
    </w:p>
    <w:p w14:paraId="640906CD" w14:textId="77777777" w:rsidR="00EB37D0" w:rsidRDefault="00EB37D0">
      <w:pPr>
        <w:rPr>
          <w:b/>
          <w:sz w:val="24"/>
          <w:szCs w:val="24"/>
        </w:rPr>
      </w:pPr>
    </w:p>
    <w:p w14:paraId="06C863B2" w14:textId="0BDACD77" w:rsidR="00F64FFA" w:rsidRDefault="0038696F">
      <w:pPr>
        <w:rPr>
          <w:b/>
          <w:sz w:val="24"/>
          <w:szCs w:val="24"/>
        </w:rPr>
      </w:pPr>
      <w:r>
        <w:rPr>
          <w:b/>
          <w:sz w:val="24"/>
          <w:szCs w:val="24"/>
        </w:rPr>
        <w:lastRenderedPageBreak/>
        <w:t>Proposed Position:</w:t>
      </w:r>
    </w:p>
    <w:p w14:paraId="1EC4664D" w14:textId="26DD68B5" w:rsidR="00F64FFA" w:rsidRDefault="00FA69BB">
      <w:r>
        <w:t xml:space="preserve">As stated in the issue, there would be duplication in a GSME pushing the details of the previous five Top Ups since, as required by ZSE D.7.2.4.5, that would require the sending of 5 Publish Top Up Log commands, 4 of which </w:t>
      </w:r>
      <w:r w:rsidR="00AB634D">
        <w:t>w</w:t>
      </w:r>
      <w:r>
        <w:t>ould have been sent previously, and so would already have been stored by the GPF (as per the second requirement in 10.4.2.5</w:t>
      </w:r>
      <w:r w:rsidR="00AB634D">
        <w:t>)</w:t>
      </w:r>
      <w:r>
        <w:t>.</w:t>
      </w:r>
    </w:p>
    <w:p w14:paraId="0D0131D8" w14:textId="7F4B0D90" w:rsidR="00FA69BB" w:rsidRDefault="00FA69BB">
      <w:r>
        <w:t xml:space="preserve">Therefore, the proposal is to change the GBCS drafting so that only details of the most recent Top Up </w:t>
      </w:r>
      <w:proofErr w:type="gramStart"/>
      <w:r>
        <w:t>have to</w:t>
      </w:r>
      <w:proofErr w:type="gramEnd"/>
      <w:r>
        <w:t xml:space="preserve"> be pushed by the GSME, whenever it has successfully processed a Top Up</w:t>
      </w:r>
      <w:r w:rsidR="00AB634D">
        <w:t xml:space="preserve"> (although there would be no bar on the GSME additionally pushing the other 4 most recent ones)</w:t>
      </w:r>
      <w:r>
        <w:t>.</w:t>
      </w:r>
    </w:p>
    <w:p w14:paraId="76691CC8" w14:textId="55793E5A" w:rsidR="00FA69BB" w:rsidRDefault="00FA69BB">
      <w:r>
        <w:t>This would not affect GPF requirements either to store the Top Up details from Publish Top Up Log commands, or to recover from outages using the Get Top Up Log command (which</w:t>
      </w:r>
      <w:r w:rsidR="00AB634D">
        <w:t xml:space="preserve"> would result in a Publish Top Up Log command containing 0, 1 or several set</w:t>
      </w:r>
      <w:r w:rsidR="00EB37D0">
        <w:t>s</w:t>
      </w:r>
      <w:r w:rsidR="00AB634D">
        <w:t xml:space="preserve"> of Top Up details).</w:t>
      </w:r>
    </w:p>
    <w:p w14:paraId="2759E886" w14:textId="3A0A5BFF" w:rsidR="00C5442B" w:rsidRDefault="00C5442B">
      <w:r>
        <w:t xml:space="preserve">The resolution also aligns to the GBCS Glossary term of ‘Prepayment Top Up’ rather than ‘prepayment top-up’. Appendix A includes the corrections to other sections to align to use of </w:t>
      </w:r>
      <w:r w:rsidR="00FF1EE7">
        <w:t>this</w:t>
      </w:r>
      <w:r>
        <w:t xml:space="preserve"> Glossary term.</w:t>
      </w:r>
    </w:p>
    <w:p w14:paraId="6F9559FB" w14:textId="77777777" w:rsidR="00F64FFA" w:rsidRDefault="00F64FFA"/>
    <w:p w14:paraId="4FA9F35C" w14:textId="77777777" w:rsidR="00F64FFA" w:rsidRDefault="0038696F">
      <w:pPr>
        <w:rPr>
          <w:b/>
          <w:sz w:val="24"/>
          <w:szCs w:val="24"/>
        </w:rPr>
      </w:pPr>
      <w:r>
        <w:rPr>
          <w:b/>
          <w:sz w:val="24"/>
          <w:szCs w:val="24"/>
        </w:rPr>
        <w:t xml:space="preserve">Interoperability and / or Compatibility </w:t>
      </w:r>
    </w:p>
    <w:p w14:paraId="234236CE" w14:textId="15CD10CD" w:rsidR="009A4200" w:rsidRDefault="00AB634D">
      <w:pPr>
        <w:rPr>
          <w:rFonts w:eastAsia="Times New Roman" w:cs="Arial"/>
          <w:color w:val="000000"/>
          <w:szCs w:val="24"/>
          <w:lang w:eastAsia="en-GB"/>
        </w:rPr>
      </w:pPr>
      <w:r>
        <w:rPr>
          <w:rFonts w:eastAsia="Times New Roman" w:cs="Arial"/>
          <w:color w:val="000000"/>
          <w:szCs w:val="24"/>
          <w:lang w:eastAsia="en-GB"/>
        </w:rPr>
        <w:t>This change does not prohibit GSME from pushing all 5 Top Ups, and so does not require changes to GSME.</w:t>
      </w:r>
    </w:p>
    <w:p w14:paraId="770A52F3" w14:textId="6C6368C8" w:rsidR="00AB634D" w:rsidRDefault="00AB634D">
      <w:r>
        <w:rPr>
          <w:rFonts w:eastAsia="Times New Roman" w:cs="Arial"/>
          <w:color w:val="000000"/>
          <w:szCs w:val="24"/>
          <w:lang w:eastAsia="en-GB"/>
        </w:rPr>
        <w:t xml:space="preserve">The change does not affect GPF requirements to store the details from </w:t>
      </w:r>
      <w:r>
        <w:t>Publish Top Up Log commands, regardless of whether those commands contain one or several Top Ups.</w:t>
      </w:r>
    </w:p>
    <w:p w14:paraId="61DC520F" w14:textId="1C913464" w:rsidR="00AB634D" w:rsidRDefault="00AB634D">
      <w:r>
        <w:t>Therefore, this change has no impact on interoperability, and does not require changes to Device functionality.</w:t>
      </w:r>
    </w:p>
    <w:p w14:paraId="09939408" w14:textId="77777777" w:rsidR="00AB634D" w:rsidRDefault="00AB634D">
      <w:pPr>
        <w:rPr>
          <w:rFonts w:eastAsia="Times New Roman" w:cs="Arial"/>
          <w:color w:val="000000"/>
          <w:szCs w:val="24"/>
          <w:lang w:eastAsia="en-GB"/>
        </w:rPr>
      </w:pPr>
    </w:p>
    <w:p w14:paraId="4055622C" w14:textId="77777777" w:rsidR="00F64FFA" w:rsidRDefault="0038696F">
      <w:pPr>
        <w:rPr>
          <w:b/>
          <w:sz w:val="24"/>
          <w:szCs w:val="24"/>
        </w:rPr>
      </w:pPr>
      <w:r>
        <w:rPr>
          <w:b/>
          <w:sz w:val="24"/>
          <w:szCs w:val="24"/>
        </w:rPr>
        <w:t>Required Changes to Documentation:</w:t>
      </w:r>
    </w:p>
    <w:p w14:paraId="7B2D7470" w14:textId="683848F4" w:rsidR="00F64FFA" w:rsidRDefault="0020799B">
      <w:r>
        <w:t xml:space="preserve">At GBCS </w:t>
      </w:r>
      <w:r w:rsidR="00AB634D">
        <w:t xml:space="preserve">10.4.2.5 </w:t>
      </w:r>
      <w:r>
        <w:t xml:space="preserve">and 10.4.2.6, modify the text </w:t>
      </w:r>
      <w:r w:rsidR="00AB634D">
        <w:t>as shown</w:t>
      </w:r>
      <w:r>
        <w:t xml:space="preserve"> in the mark-up below</w:t>
      </w:r>
      <w:r w:rsidR="00AB634D">
        <w:t>:</w:t>
      </w:r>
    </w:p>
    <w:p w14:paraId="1B0B43B5" w14:textId="4F0E6E03" w:rsidR="00AB634D" w:rsidRDefault="00C5442B">
      <w:r>
        <w:rPr>
          <w:noProof/>
        </w:rPr>
        <w:drawing>
          <wp:inline distT="0" distB="0" distL="0" distR="0" wp14:anchorId="62820ADE" wp14:editId="31E7DF5C">
            <wp:extent cx="5760720" cy="26276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2627630"/>
                    </a:xfrm>
                    <a:prstGeom prst="rect">
                      <a:avLst/>
                    </a:prstGeom>
                  </pic:spPr>
                </pic:pic>
              </a:graphicData>
            </a:graphic>
          </wp:inline>
        </w:drawing>
      </w:r>
      <w:r>
        <w:rPr>
          <w:noProof/>
        </w:rPr>
        <w:t xml:space="preserve"> </w:t>
      </w:r>
    </w:p>
    <w:p w14:paraId="7B47DEEA" w14:textId="7F6DEFB8" w:rsidR="0035692A" w:rsidRPr="0035692A" w:rsidRDefault="0035692A">
      <w:pPr>
        <w:rPr>
          <w:i/>
          <w:iCs/>
          <w:sz w:val="18"/>
          <w:szCs w:val="18"/>
        </w:rPr>
      </w:pPr>
      <w:r w:rsidRPr="0035692A">
        <w:rPr>
          <w:i/>
          <w:iCs/>
          <w:sz w:val="18"/>
          <w:szCs w:val="18"/>
        </w:rPr>
        <w:t>&lt;run on as is…&gt;</w:t>
      </w:r>
    </w:p>
    <w:p w14:paraId="20A8A9ED" w14:textId="4DB1ED51" w:rsidR="00AB634D" w:rsidRDefault="00C5442B">
      <w:r>
        <w:t>Make the changes detailed at Annex A to align to the Glossary term ‘‘Prepayment Top Up’.</w:t>
      </w:r>
    </w:p>
    <w:p w14:paraId="3DEA2028" w14:textId="77777777" w:rsidR="00C5442B" w:rsidRPr="00D13946" w:rsidRDefault="00C5442B"/>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A44142">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A44142">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A44142">
        <w:tc>
          <w:tcPr>
            <w:tcW w:w="3865" w:type="dxa"/>
            <w:shd w:val="clear" w:color="auto" w:fill="auto"/>
          </w:tcPr>
          <w:p w14:paraId="0F3221F6" w14:textId="77777777" w:rsidR="00F64FFA" w:rsidRDefault="0038696F">
            <w:pPr>
              <w:pStyle w:val="NoSpacing"/>
              <w:rPr>
                <w:b/>
              </w:rPr>
            </w:pPr>
            <w:r>
              <w:rPr>
                <w:b/>
              </w:rPr>
              <w:lastRenderedPageBreak/>
              <w:t>Attachment(s)</w:t>
            </w:r>
          </w:p>
        </w:tc>
        <w:tc>
          <w:tcPr>
            <w:tcW w:w="5197" w:type="dxa"/>
            <w:shd w:val="clear" w:color="auto" w:fill="auto"/>
          </w:tcPr>
          <w:p w14:paraId="114DA693" w14:textId="3218E55E" w:rsidR="00F64FFA" w:rsidRDefault="00AB634D">
            <w:pPr>
              <w:pStyle w:val="NoSpacing"/>
            </w:pPr>
            <w:r>
              <w:t>None</w:t>
            </w:r>
          </w:p>
        </w:tc>
      </w:tr>
      <w:tr w:rsidR="00A44142" w14:paraId="4DF62E7C" w14:textId="77777777" w:rsidTr="002B432E">
        <w:tblPrEx>
          <w:tblCellMar>
            <w:top w:w="0" w:type="dxa"/>
            <w:bottom w:w="0" w:type="dxa"/>
          </w:tblCellMar>
        </w:tblPrEx>
        <w:trPr>
          <w:trHeight w:val="485"/>
        </w:trPr>
        <w:tc>
          <w:tcPr>
            <w:tcW w:w="3865" w:type="dxa"/>
          </w:tcPr>
          <w:p w14:paraId="27AAE85C" w14:textId="77777777" w:rsidR="00A44142" w:rsidRDefault="00A44142" w:rsidP="003D75C7">
            <w:pPr>
              <w:pStyle w:val="NoSpacing"/>
              <w:rPr>
                <w:b/>
              </w:rPr>
            </w:pPr>
            <w:r>
              <w:rPr>
                <w:b/>
              </w:rPr>
              <w:t>Affected Parties</w:t>
            </w:r>
          </w:p>
        </w:tc>
        <w:tc>
          <w:tcPr>
            <w:tcW w:w="5197" w:type="dxa"/>
          </w:tcPr>
          <w:p w14:paraId="62A0CD70" w14:textId="0852DFA4" w:rsidR="00A44142" w:rsidRDefault="00A44142" w:rsidP="003D75C7">
            <w:pPr>
              <w:pStyle w:val="NoSpacing"/>
            </w:pPr>
            <w:r>
              <w:t>None this</w:t>
            </w:r>
            <w:r w:rsidR="002B432E">
              <w:t xml:space="preserve"> is a</w:t>
            </w:r>
            <w:r>
              <w:t xml:space="preserve"> document consistency change</w:t>
            </w:r>
          </w:p>
        </w:tc>
      </w:tr>
    </w:tbl>
    <w:p w14:paraId="605DE363" w14:textId="2F137D3C" w:rsidR="00C5442B" w:rsidRDefault="00C5442B">
      <w:pPr>
        <w:spacing w:before="0" w:after="200" w:line="276" w:lineRule="auto"/>
      </w:pPr>
    </w:p>
    <w:p w14:paraId="19B82D88" w14:textId="77777777" w:rsidR="00C5442B" w:rsidRDefault="00C5442B">
      <w:pPr>
        <w:spacing w:before="0" w:after="0"/>
      </w:pPr>
      <w:r>
        <w:br w:type="page"/>
      </w:r>
    </w:p>
    <w:p w14:paraId="3242285E" w14:textId="35FDB58E" w:rsidR="00F64FFA" w:rsidRPr="00FF1EE7" w:rsidRDefault="00C5442B">
      <w:pPr>
        <w:spacing w:before="0" w:after="200" w:line="276" w:lineRule="auto"/>
        <w:rPr>
          <w:b/>
          <w:bCs/>
          <w:u w:val="single"/>
        </w:rPr>
      </w:pPr>
      <w:r w:rsidRPr="00FF1EE7">
        <w:rPr>
          <w:b/>
          <w:bCs/>
          <w:u w:val="single"/>
        </w:rPr>
        <w:lastRenderedPageBreak/>
        <w:t>Annex A – alignments to glossary term</w:t>
      </w:r>
    </w:p>
    <w:p w14:paraId="612ACF64" w14:textId="3C99F109" w:rsidR="003C5174" w:rsidRDefault="003C5174">
      <w:pPr>
        <w:spacing w:before="0" w:after="200" w:line="276" w:lineRule="auto"/>
      </w:pPr>
      <w:r>
        <w:t>Table 4.3.2.6</w:t>
      </w:r>
    </w:p>
    <w:p w14:paraId="11EBCFEC" w14:textId="013C452A" w:rsidR="003C5174" w:rsidRDefault="003C5174">
      <w:pPr>
        <w:spacing w:before="0" w:after="200" w:line="276" w:lineRule="auto"/>
      </w:pPr>
      <w:r>
        <w:rPr>
          <w:noProof/>
        </w:rPr>
        <w:drawing>
          <wp:inline distT="0" distB="0" distL="0" distR="0" wp14:anchorId="00361F53" wp14:editId="4D98E052">
            <wp:extent cx="5760720" cy="673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673100"/>
                    </a:xfrm>
                    <a:prstGeom prst="rect">
                      <a:avLst/>
                    </a:prstGeom>
                  </pic:spPr>
                </pic:pic>
              </a:graphicData>
            </a:graphic>
          </wp:inline>
        </w:drawing>
      </w:r>
    </w:p>
    <w:p w14:paraId="451F1CF4" w14:textId="568E33DC" w:rsidR="003C5174" w:rsidRDefault="003C5174">
      <w:pPr>
        <w:spacing w:before="0" w:after="200" w:line="276" w:lineRule="auto"/>
      </w:pPr>
      <w:r>
        <w:t>Table 13.3.4.1:</w:t>
      </w:r>
    </w:p>
    <w:p w14:paraId="25D8D31F" w14:textId="77777777" w:rsidR="003C5174" w:rsidRDefault="003C5174">
      <w:pPr>
        <w:spacing w:before="0" w:after="200" w:line="276" w:lineRule="auto"/>
      </w:pPr>
    </w:p>
    <w:p w14:paraId="7D0D7FD1" w14:textId="7170C977" w:rsidR="003C5174" w:rsidRDefault="003C5174">
      <w:pPr>
        <w:spacing w:before="0" w:after="200" w:line="276" w:lineRule="auto"/>
      </w:pPr>
      <w:r>
        <w:rPr>
          <w:noProof/>
        </w:rPr>
        <w:drawing>
          <wp:inline distT="0" distB="0" distL="0" distR="0" wp14:anchorId="0EEDBF63" wp14:editId="52BC1B23">
            <wp:extent cx="5760720" cy="1531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1531620"/>
                    </a:xfrm>
                    <a:prstGeom prst="rect">
                      <a:avLst/>
                    </a:prstGeom>
                  </pic:spPr>
                </pic:pic>
              </a:graphicData>
            </a:graphic>
          </wp:inline>
        </w:drawing>
      </w:r>
    </w:p>
    <w:p w14:paraId="33B0E79D" w14:textId="77777777" w:rsidR="003C5174" w:rsidRDefault="003C5174" w:rsidP="003C5174">
      <w:pPr>
        <w:spacing w:before="0" w:after="200" w:line="276" w:lineRule="auto"/>
      </w:pPr>
      <w:r>
        <w:t>Table 13.3.4.6:</w:t>
      </w:r>
    </w:p>
    <w:p w14:paraId="63278F4F" w14:textId="77777777" w:rsidR="003C5174" w:rsidRDefault="003C5174">
      <w:pPr>
        <w:spacing w:before="0" w:after="200" w:line="276" w:lineRule="auto"/>
      </w:pPr>
      <w:r>
        <w:rPr>
          <w:noProof/>
        </w:rPr>
        <w:drawing>
          <wp:inline distT="0" distB="0" distL="0" distR="0" wp14:anchorId="1DC4FE03" wp14:editId="2F2CE3AE">
            <wp:extent cx="5760720" cy="13296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1329690"/>
                    </a:xfrm>
                    <a:prstGeom prst="rect">
                      <a:avLst/>
                    </a:prstGeom>
                  </pic:spPr>
                </pic:pic>
              </a:graphicData>
            </a:graphic>
          </wp:inline>
        </w:drawing>
      </w:r>
    </w:p>
    <w:p w14:paraId="4F577456" w14:textId="24B231A7" w:rsidR="003C5174" w:rsidRDefault="003C5174">
      <w:pPr>
        <w:spacing w:before="0" w:after="200" w:line="276" w:lineRule="auto"/>
      </w:pPr>
      <w:r>
        <w:t>In Table 13.3.5.12:</w:t>
      </w:r>
    </w:p>
    <w:p w14:paraId="2E2D3715" w14:textId="47D27D8B" w:rsidR="003C5174" w:rsidRDefault="003C5174">
      <w:pPr>
        <w:spacing w:before="0" w:after="200" w:line="276" w:lineRule="auto"/>
      </w:pPr>
      <w:r>
        <w:rPr>
          <w:noProof/>
        </w:rPr>
        <w:drawing>
          <wp:inline distT="0" distB="0" distL="0" distR="0" wp14:anchorId="71270739" wp14:editId="63CFEB6A">
            <wp:extent cx="5760720" cy="2901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90195"/>
                    </a:xfrm>
                    <a:prstGeom prst="rect">
                      <a:avLst/>
                    </a:prstGeom>
                  </pic:spPr>
                </pic:pic>
              </a:graphicData>
            </a:graphic>
          </wp:inline>
        </w:drawing>
      </w:r>
    </w:p>
    <w:p w14:paraId="7A36ADFE" w14:textId="2893F62A" w:rsidR="00C5442B" w:rsidRDefault="00C5442B">
      <w:pPr>
        <w:spacing w:before="0" w:after="200" w:line="276" w:lineRule="auto"/>
      </w:pPr>
      <w:r>
        <w:t>In section 14.3.8:</w:t>
      </w:r>
    </w:p>
    <w:p w14:paraId="7A107C46" w14:textId="569F3B27" w:rsidR="00C5442B" w:rsidRDefault="00C5442B">
      <w:pPr>
        <w:spacing w:before="0" w:after="200" w:line="276" w:lineRule="auto"/>
      </w:pPr>
      <w:r>
        <w:rPr>
          <w:noProof/>
        </w:rPr>
        <w:drawing>
          <wp:inline distT="0" distB="0" distL="0" distR="0" wp14:anchorId="45D46807" wp14:editId="1045338A">
            <wp:extent cx="5760720" cy="16338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1633855"/>
                    </a:xfrm>
                    <a:prstGeom prst="rect">
                      <a:avLst/>
                    </a:prstGeom>
                  </pic:spPr>
                </pic:pic>
              </a:graphicData>
            </a:graphic>
          </wp:inline>
        </w:drawing>
      </w:r>
    </w:p>
    <w:p w14:paraId="35AD2401" w14:textId="35B3F35F" w:rsidR="003C5174" w:rsidRDefault="003C5174">
      <w:pPr>
        <w:spacing w:before="0" w:after="200" w:line="276" w:lineRule="auto"/>
      </w:pPr>
      <w:r>
        <w:t>In the Glossary (replace dash with a space)</w:t>
      </w:r>
    </w:p>
    <w:p w14:paraId="69FDCF48" w14:textId="0809651E" w:rsidR="003C5174" w:rsidRDefault="003C5174">
      <w:pPr>
        <w:spacing w:before="0" w:after="200" w:line="276" w:lineRule="auto"/>
      </w:pPr>
      <w:r>
        <w:rPr>
          <w:noProof/>
        </w:rPr>
        <w:drawing>
          <wp:inline distT="0" distB="0" distL="0" distR="0" wp14:anchorId="5E4AB5D5" wp14:editId="48C46950">
            <wp:extent cx="5760720" cy="678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678180"/>
                    </a:xfrm>
                    <a:prstGeom prst="rect">
                      <a:avLst/>
                    </a:prstGeom>
                  </pic:spPr>
                </pic:pic>
              </a:graphicData>
            </a:graphic>
          </wp:inline>
        </w:drawing>
      </w:r>
    </w:p>
    <w:p w14:paraId="6B78D788" w14:textId="717E882C" w:rsidR="003C5174" w:rsidRDefault="003C5174">
      <w:pPr>
        <w:spacing w:before="0" w:after="200" w:line="276" w:lineRule="auto"/>
      </w:pPr>
      <w:r>
        <w:lastRenderedPageBreak/>
        <w:t>In section 27:</w:t>
      </w:r>
    </w:p>
    <w:p w14:paraId="1E3AE870" w14:textId="1BF3D536" w:rsidR="003C5174" w:rsidRDefault="003C5174">
      <w:pPr>
        <w:spacing w:before="0" w:after="200" w:line="276" w:lineRule="auto"/>
      </w:pPr>
      <w:r>
        <w:rPr>
          <w:noProof/>
        </w:rPr>
        <w:drawing>
          <wp:inline distT="0" distB="0" distL="0" distR="0" wp14:anchorId="744727E5" wp14:editId="589FEFCA">
            <wp:extent cx="5760720" cy="9264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926465"/>
                    </a:xfrm>
                    <a:prstGeom prst="rect">
                      <a:avLst/>
                    </a:prstGeom>
                  </pic:spPr>
                </pic:pic>
              </a:graphicData>
            </a:graphic>
          </wp:inline>
        </w:drawing>
      </w:r>
    </w:p>
    <w:p w14:paraId="567265A7" w14:textId="77777777" w:rsidR="00C5442B" w:rsidRDefault="00C5442B">
      <w:pPr>
        <w:spacing w:before="0" w:after="200" w:line="276" w:lineRule="auto"/>
      </w:pPr>
    </w:p>
    <w:sectPr w:rsidR="00C5442B">
      <w:headerReference w:type="even" r:id="rId24"/>
      <w:headerReference w:type="default" r:id="rId25"/>
      <w:footerReference w:type="even" r:id="rId26"/>
      <w:footerReference w:type="default" r:id="rId27"/>
      <w:headerReference w:type="first" r:id="rId28"/>
      <w:footerReference w:type="first" r:id="rId2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921C9" w14:textId="77777777" w:rsidR="00AA6F9B" w:rsidRDefault="00AA6F9B">
      <w:pPr>
        <w:spacing w:before="0" w:after="0"/>
      </w:pPr>
      <w:r>
        <w:separator/>
      </w:r>
    </w:p>
  </w:endnote>
  <w:endnote w:type="continuationSeparator" w:id="0">
    <w:p w14:paraId="4FEEFB47" w14:textId="77777777" w:rsidR="00AA6F9B" w:rsidRDefault="00AA6F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02167" w14:textId="77777777" w:rsidR="00AA6F9B" w:rsidRDefault="00AA6F9B">
      <w:pPr>
        <w:spacing w:before="0" w:after="0"/>
      </w:pPr>
      <w:r>
        <w:separator/>
      </w:r>
    </w:p>
  </w:footnote>
  <w:footnote w:type="continuationSeparator" w:id="0">
    <w:p w14:paraId="00A8007A" w14:textId="77777777" w:rsidR="00AA6F9B" w:rsidRDefault="00AA6F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C064D"/>
    <w:rsid w:val="0020799B"/>
    <w:rsid w:val="002B432E"/>
    <w:rsid w:val="002C046B"/>
    <w:rsid w:val="003435FE"/>
    <w:rsid w:val="0035692A"/>
    <w:rsid w:val="0038696F"/>
    <w:rsid w:val="003C5174"/>
    <w:rsid w:val="003E3E4F"/>
    <w:rsid w:val="004A1805"/>
    <w:rsid w:val="00562558"/>
    <w:rsid w:val="00673DF3"/>
    <w:rsid w:val="00762008"/>
    <w:rsid w:val="00901A92"/>
    <w:rsid w:val="009A4200"/>
    <w:rsid w:val="009E2B35"/>
    <w:rsid w:val="00A31DDD"/>
    <w:rsid w:val="00A44142"/>
    <w:rsid w:val="00AA6F9B"/>
    <w:rsid w:val="00AB634D"/>
    <w:rsid w:val="00BD6697"/>
    <w:rsid w:val="00C23742"/>
    <w:rsid w:val="00C5442B"/>
    <w:rsid w:val="00D13946"/>
    <w:rsid w:val="00D41E59"/>
    <w:rsid w:val="00DB4A52"/>
    <w:rsid w:val="00EB37D0"/>
    <w:rsid w:val="00F64FFA"/>
    <w:rsid w:val="00FA69BB"/>
    <w:rsid w:val="00FC5942"/>
    <w:rsid w:val="00FF1E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1484.87641760"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cid:image002.png@01D51484.87641760" TargetMode="External"/><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2020-06-04T12:15:41+00:00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2QFN7KK647Q6-1153347766-94793</_dlc_DocId>
    <_dlc_DocIdUrl xmlns="12cff280-46d3-4d75-8ec5-390382d392fa">
      <Url>https://beisgov.sharepoint.com/sites/SMIP-EXT-423/_layouts/15/DocIdRedir.aspx?ID=2QFN7KK647Q6-1153347766-94793</Url>
      <Description>2QFN7KK647Q6-1153347766-94793</Description>
    </_dlc_DocIdUrl>
    <LegacyData xmlns="12cff280-46d3-4d75-8ec5-390382d392fa">{
  "Name": "IRP625 GBCS Publish Top Up Log Command v0_1.docx",
  "Title": "",
  "External": "",
  "Document Notes": "",
  "Security Classification": "OFFICIAL",
  "Handling Instructions": "",
  "Descriptor": "",
  "Government Body": "BEIS",
  "Business Unit": "BEIS:Energy, Transformation and Clean Growth:Smart Metering Implementation Programme",
  "Retention Label": "HMG PPP Review",
  "Date Opened": "2020-06-04T12:15:41.0000000Z",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"2020-06-04T12:15:41.0000000Z",
  "Document Modified By": "i:0#.f|membership|john.eager@beis.gov.uk",
  "Document Created By": "i:0#.f|membership|john.eager@beis.gov.uk",
  "Document ID Value": "2QFN7KK647Q6-1153347766-94793",
  "Modified": "2020-06-04T12:15:41.0000000Z",
  "Original Location": "/sites/beis/423/Shared Documents/# SMIP Governance/Tech Spec Feedback/Resolution Proposals (IRPs &amp; CRPs)/IRP625 GBCS Publish Top Up Log Command v0_1.docx"
}</LegacyData>
    <Document_x0020_Notes xmlns="12cff280-46d3-4d75-8ec5-390382d392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DFA1C7-4A1A-4D3C-B09B-C7408CA071E5}">
  <ds:schemaRefs>
    <ds:schemaRef ds:uri="http://schemas.microsoft.com/sharepoint/events"/>
  </ds:schemaRefs>
</ds:datastoreItem>
</file>

<file path=customXml/itemProps2.xml><?xml version="1.0" encoding="utf-8"?>
<ds:datastoreItem xmlns:ds="http://schemas.openxmlformats.org/officeDocument/2006/customXml" ds:itemID="{D90D9449-CA63-4C0D-8AC4-978DD08D9EFC}">
  <ds:schemaRefs>
    <ds:schemaRef ds:uri="http://schemas.openxmlformats.org/officeDocument/2006/bibliography"/>
  </ds:schemaRefs>
</ds:datastoreItem>
</file>

<file path=customXml/itemProps3.xml><?xml version="1.0" encoding="utf-8"?>
<ds:datastoreItem xmlns:ds="http://schemas.openxmlformats.org/officeDocument/2006/customXml" ds:itemID="{49EFF418-3A9C-47C2-917D-3212D7F35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EBB-27C4-4344-814A-4AFBA79B316F}">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5.xml><?xml version="1.0" encoding="utf-8"?>
<ds:datastoreItem xmlns:ds="http://schemas.openxmlformats.org/officeDocument/2006/customXml" ds:itemID="{CCE3F992-64ED-419C-B997-4EA1B82DF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2021-01-14T16:52:00Z</dcterms:created>
  <dcterms:modified xsi:type="dcterms:W3CDTF">2021-01-14T16:52:00Z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c55341b2-e46f-4df0-9df0-f01520fde940</vt:lpwstr>
  </property>
  <property fmtid="{D5CDD505-2E9C-101B-9397-08002B2CF9AE}" pid="20" name="MailSubject">
    <vt:lpwstr/>
  </property>
  <property fmtid="{D5CDD505-2E9C-101B-9397-08002B2CF9AE}" pid="21" name="Order">
    <vt:r8>9479300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